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36"/>
          <w:szCs w:val="36"/>
        </w:rPr>
      </w:pPr>
      <w:r>
        <w:rPr>
          <w:rFonts w:hint="eastAsia" w:ascii="黑体" w:eastAsia="黑体"/>
          <w:sz w:val="36"/>
          <w:szCs w:val="36"/>
        </w:rPr>
        <w:t>广东财经大学金融学院金石励学基金</w:t>
      </w:r>
    </w:p>
    <w:p>
      <w:pPr>
        <w:jc w:val="center"/>
        <w:rPr>
          <w:rFonts w:ascii="黑体" w:eastAsia="黑体"/>
          <w:sz w:val="36"/>
          <w:szCs w:val="36"/>
        </w:rPr>
      </w:pPr>
      <w:r>
        <w:rPr>
          <w:rFonts w:hint="eastAsia" w:ascii="黑体" w:eastAsia="黑体"/>
          <w:sz w:val="36"/>
          <w:szCs w:val="36"/>
        </w:rPr>
        <w:t>管理办法</w:t>
      </w:r>
    </w:p>
    <w:p>
      <w:pPr>
        <w:spacing w:beforeLines="50" w:line="560" w:lineRule="exact"/>
        <w:ind w:firstLine="627" w:firstLineChars="196"/>
        <w:rPr>
          <w:rFonts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广东财经大学金融学院金石励学基金是广东财经大学教育发展基金会下设的专项公益项目。为规范金石励学基金项目的管理和使用，充分发挥基金的作用，提高基金使用效率，根据《基金会管理条例》、《关于规范基金会行为的若干规定（试行）》、《广东省广东财经大学教育发展基金会章程》以及广东财经大学的有关管理规定，特制定本办法。</w:t>
      </w:r>
    </w:p>
    <w:p>
      <w:pPr>
        <w:spacing w:line="560" w:lineRule="exact"/>
        <w:ind w:firstLine="630" w:firstLineChars="196"/>
        <w:jc w:val="left"/>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第一条项目名称</w:t>
      </w:r>
    </w:p>
    <w:p>
      <w:pPr>
        <w:spacing w:line="560" w:lineRule="exact"/>
        <w:ind w:firstLine="627" w:firstLineChars="196"/>
        <w:jc w:val="left"/>
        <w:rPr>
          <w:rFonts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本项目全称：广东财经大学金融学院金石励学基金。</w:t>
      </w:r>
    </w:p>
    <w:p>
      <w:pPr>
        <w:spacing w:line="560" w:lineRule="exact"/>
        <w:ind w:firstLine="630" w:firstLineChars="196"/>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第二条基金资金来源</w:t>
      </w:r>
    </w:p>
    <w:p>
      <w:pPr>
        <w:spacing w:line="560" w:lineRule="exact"/>
        <w:ind w:firstLine="627" w:firstLineChars="196"/>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本基金项目资金主要来源于广东财经大学金融学院校友（包括校友个人、校友企业或团体）和社会贤达等的捐资。捐资采用“多对多”和“一对一”</w:t>
      </w:r>
      <w:r>
        <w:rPr>
          <w:rFonts w:hint="eastAsia" w:ascii="仿宋_GB2312" w:hAnsi="仿宋_GB2312" w:eastAsia="仿宋_GB2312" w:cs="仿宋_GB2312"/>
          <w:sz w:val="32"/>
          <w:szCs w:val="32"/>
        </w:rPr>
        <w:t>的方式。</w:t>
      </w:r>
    </w:p>
    <w:p>
      <w:pPr>
        <w:spacing w:line="560" w:lineRule="exact"/>
        <w:ind w:firstLine="630" w:firstLineChars="196"/>
        <w:jc w:val="left"/>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第三条基金的用途和资助范围</w:t>
      </w:r>
    </w:p>
    <w:p>
      <w:pPr>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本基金用于奖励广东财经大学金融学院品学兼优的在校学生和在教书育人、科学研究等方面成绩突出的在岗教师，</w:t>
      </w:r>
      <w:r>
        <w:rPr>
          <w:rFonts w:hint="eastAsia" w:ascii="仿宋_GB2312" w:hAnsi="仿宋_GB2312" w:eastAsia="仿宋_GB2312" w:cs="仿宋_GB2312"/>
          <w:color w:val="000000"/>
          <w:sz w:val="32"/>
          <w:szCs w:val="32"/>
          <w:lang w:val="en-US" w:eastAsia="zh-CN"/>
        </w:rPr>
        <w:t>帮助有特殊困难的在校学生和校友。</w:t>
      </w:r>
      <w:r>
        <w:rPr>
          <w:rFonts w:hint="eastAsia" w:ascii="仿宋_GB2312" w:hAnsi="仿宋_GB2312" w:eastAsia="仿宋_GB2312" w:cs="仿宋_GB2312"/>
          <w:color w:val="000000"/>
          <w:sz w:val="32"/>
          <w:szCs w:val="32"/>
        </w:rPr>
        <w:t>旨在表彰先进、奖励优秀、激励后进，形成人人争当先进、争做优秀的良好氛围，引导师生争当奋进自律的广财人、金融人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帮助</w:t>
      </w:r>
      <w:r>
        <w:rPr>
          <w:rFonts w:hint="eastAsia" w:ascii="仿宋_GB2312" w:hAnsi="仿宋_GB2312" w:eastAsia="仿宋_GB2312" w:cs="仿宋_GB2312"/>
          <w:color w:val="000000"/>
          <w:sz w:val="32"/>
          <w:szCs w:val="32"/>
          <w:lang w:val="en-US" w:eastAsia="zh-CN"/>
        </w:rPr>
        <w:t>有特殊困难</w:t>
      </w:r>
      <w:r>
        <w:rPr>
          <w:rFonts w:hint="eastAsia" w:ascii="仿宋_GB2312" w:hAnsi="仿宋_GB2312" w:eastAsia="仿宋_GB2312" w:cs="仿宋_GB2312"/>
          <w:color w:val="000000"/>
          <w:sz w:val="32"/>
          <w:szCs w:val="32"/>
        </w:rPr>
        <w:t>学生减轻生活负担，安心学习，顺利完成学业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帮助有特殊困难校友渡过困难时期，保证正常的生活</w:t>
      </w:r>
      <w:r>
        <w:rPr>
          <w:rFonts w:hint="eastAsia" w:ascii="仿宋_GB2312" w:hAnsi="仿宋_GB2312" w:eastAsia="仿宋_GB2312" w:cs="仿宋_GB2312"/>
          <w:color w:val="000000"/>
          <w:sz w:val="32"/>
          <w:szCs w:val="32"/>
        </w:rPr>
        <w:t>。范围包括：</w:t>
      </w:r>
    </w:p>
    <w:p>
      <w:pPr>
        <w:ind w:firstLine="547" w:firstLineChars="171"/>
        <w:rPr>
          <w:rFonts w:hint="eastAsia" w:ascii="仿宋_GB2312" w:eastAsia="仿宋_GB2312"/>
          <w:sz w:val="32"/>
          <w:szCs w:val="32"/>
          <w:lang w:eastAsia="zh-CN"/>
        </w:rPr>
      </w:pPr>
      <w:r>
        <w:rPr>
          <w:rFonts w:hint="eastAsia"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sz w:val="32"/>
          <w:szCs w:val="32"/>
        </w:rPr>
        <w:t>广东财经大学</w:t>
      </w:r>
      <w:r>
        <w:rPr>
          <w:rFonts w:hint="eastAsia" w:ascii="仿宋_GB2312" w:eastAsia="仿宋_GB2312"/>
          <w:sz w:val="32"/>
          <w:szCs w:val="32"/>
          <w:lang w:val="en-US" w:eastAsia="zh-CN"/>
        </w:rPr>
        <w:t>金融</w:t>
      </w:r>
      <w:r>
        <w:rPr>
          <w:rFonts w:hint="eastAsia" w:ascii="仿宋_GB2312" w:eastAsia="仿宋_GB2312"/>
          <w:sz w:val="32"/>
          <w:szCs w:val="32"/>
        </w:rPr>
        <w:t>学院教工突出贡献奖励</w:t>
      </w:r>
      <w:r>
        <w:rPr>
          <w:rFonts w:hint="eastAsia" w:ascii="仿宋_GB2312" w:eastAsia="仿宋_GB2312"/>
          <w:sz w:val="32"/>
          <w:szCs w:val="32"/>
          <w:lang w:eastAsia="zh-CN"/>
        </w:rPr>
        <w:t>；</w:t>
      </w:r>
    </w:p>
    <w:p>
      <w:pPr>
        <w:ind w:firstLine="547" w:firstLineChars="171"/>
        <w:rPr>
          <w:rFonts w:hint="eastAsia" w:ascii="仿宋_GB2312" w:eastAsia="仿宋_GB2312"/>
          <w:sz w:val="32"/>
          <w:szCs w:val="32"/>
          <w:lang w:eastAsia="zh-CN"/>
        </w:rPr>
      </w:pPr>
      <w:r>
        <w:rPr>
          <w:rFonts w:hint="eastAsia" w:ascii="仿宋_GB2312" w:eastAsia="仿宋_GB2312"/>
          <w:sz w:val="32"/>
          <w:szCs w:val="32"/>
        </w:rPr>
        <w:t>2</w:t>
      </w:r>
      <w:r>
        <w:rPr>
          <w:rFonts w:hint="eastAsia" w:ascii="仿宋_GB2312" w:eastAsia="仿宋_GB2312"/>
          <w:sz w:val="32"/>
          <w:szCs w:val="32"/>
          <w:lang w:eastAsia="zh-CN"/>
        </w:rPr>
        <w:t>.</w:t>
      </w:r>
      <w:r>
        <w:rPr>
          <w:rFonts w:hint="eastAsia" w:ascii="仿宋_GB2312" w:eastAsia="仿宋_GB2312"/>
          <w:sz w:val="32"/>
          <w:szCs w:val="32"/>
        </w:rPr>
        <w:t>广东财经大学</w:t>
      </w:r>
      <w:r>
        <w:rPr>
          <w:rFonts w:hint="eastAsia" w:ascii="仿宋_GB2312" w:eastAsia="仿宋_GB2312"/>
          <w:sz w:val="32"/>
          <w:szCs w:val="32"/>
          <w:lang w:val="en-US" w:eastAsia="zh-CN"/>
        </w:rPr>
        <w:t>金融</w:t>
      </w:r>
      <w:r>
        <w:rPr>
          <w:rFonts w:hint="eastAsia" w:ascii="仿宋_GB2312" w:eastAsia="仿宋_GB2312"/>
          <w:sz w:val="32"/>
          <w:szCs w:val="32"/>
        </w:rPr>
        <w:t>学院优秀学生奖励</w:t>
      </w:r>
      <w:r>
        <w:rPr>
          <w:rFonts w:hint="eastAsia" w:ascii="仿宋_GB2312" w:eastAsia="仿宋_GB2312"/>
          <w:sz w:val="32"/>
          <w:szCs w:val="32"/>
          <w:lang w:eastAsia="zh-CN"/>
        </w:rPr>
        <w:t>；</w:t>
      </w:r>
    </w:p>
    <w:p>
      <w:pPr>
        <w:ind w:firstLine="547" w:firstLineChars="171"/>
        <w:rPr>
          <w:rFonts w:hint="eastAsia" w:ascii="仿宋_GB2312" w:eastAsia="仿宋_GB2312"/>
          <w:sz w:val="32"/>
          <w:szCs w:val="32"/>
          <w:lang w:eastAsia="zh-CN"/>
        </w:rPr>
      </w:pPr>
      <w:r>
        <w:rPr>
          <w:rFonts w:hint="eastAsia" w:ascii="仿宋_GB2312" w:eastAsia="仿宋_GB2312"/>
          <w:sz w:val="32"/>
          <w:szCs w:val="32"/>
        </w:rPr>
        <w:t>3</w:t>
      </w:r>
      <w:r>
        <w:rPr>
          <w:rFonts w:hint="eastAsia" w:ascii="仿宋_GB2312" w:eastAsia="仿宋_GB2312"/>
          <w:sz w:val="32"/>
          <w:szCs w:val="32"/>
          <w:lang w:eastAsia="zh-CN"/>
        </w:rPr>
        <w:t>.</w:t>
      </w:r>
      <w:r>
        <w:rPr>
          <w:rFonts w:hint="eastAsia" w:ascii="仿宋_GB2312" w:eastAsia="仿宋_GB2312"/>
          <w:sz w:val="32"/>
          <w:szCs w:val="32"/>
        </w:rPr>
        <w:t>广东财经大学</w:t>
      </w:r>
      <w:r>
        <w:rPr>
          <w:rFonts w:hint="eastAsia" w:ascii="仿宋_GB2312" w:eastAsia="仿宋_GB2312"/>
          <w:sz w:val="32"/>
          <w:szCs w:val="32"/>
          <w:lang w:val="en-US" w:eastAsia="zh-CN"/>
        </w:rPr>
        <w:t>金融</w:t>
      </w:r>
      <w:r>
        <w:rPr>
          <w:rFonts w:hint="eastAsia" w:ascii="仿宋_GB2312" w:eastAsia="仿宋_GB2312"/>
          <w:sz w:val="32"/>
          <w:szCs w:val="32"/>
        </w:rPr>
        <w:t>学院</w:t>
      </w:r>
      <w:r>
        <w:rPr>
          <w:rFonts w:hint="eastAsia" w:ascii="仿宋_GB2312" w:eastAsia="仿宋_GB2312"/>
          <w:sz w:val="32"/>
          <w:szCs w:val="32"/>
          <w:lang w:val="en-US" w:eastAsia="zh-CN"/>
        </w:rPr>
        <w:t>特殊</w:t>
      </w:r>
      <w:r>
        <w:rPr>
          <w:rFonts w:hint="eastAsia" w:ascii="仿宋_GB2312" w:eastAsia="仿宋_GB2312"/>
          <w:sz w:val="32"/>
          <w:szCs w:val="32"/>
        </w:rPr>
        <w:t>困难学生资助</w:t>
      </w:r>
      <w:r>
        <w:rPr>
          <w:rFonts w:hint="eastAsia" w:ascii="仿宋_GB2312" w:eastAsia="仿宋_GB2312"/>
          <w:sz w:val="32"/>
          <w:szCs w:val="32"/>
          <w:lang w:eastAsia="zh-CN"/>
        </w:rPr>
        <w:t>；</w:t>
      </w:r>
    </w:p>
    <w:p>
      <w:pPr>
        <w:ind w:firstLine="547" w:firstLineChars="171"/>
        <w:rPr>
          <w:rFonts w:hint="eastAsia" w:eastAsia="仿宋_GB2312"/>
          <w:sz w:val="32"/>
          <w:szCs w:val="32"/>
          <w:lang w:eastAsia="zh-CN"/>
        </w:rPr>
      </w:pPr>
      <w:r>
        <w:rPr>
          <w:rFonts w:hint="eastAsia" w:ascii="仿宋_GB2312" w:eastAsia="仿宋_GB2312"/>
          <w:sz w:val="32"/>
          <w:szCs w:val="32"/>
        </w:rPr>
        <w:t>4</w:t>
      </w:r>
      <w:r>
        <w:rPr>
          <w:rFonts w:hint="eastAsia" w:ascii="仿宋_GB2312" w:eastAsia="仿宋_GB2312"/>
          <w:sz w:val="32"/>
          <w:szCs w:val="32"/>
          <w:lang w:eastAsia="zh-CN"/>
        </w:rPr>
        <w:t>.</w:t>
      </w:r>
      <w:r>
        <w:rPr>
          <w:rFonts w:hint="eastAsia" w:ascii="仿宋_GB2312" w:eastAsia="仿宋_GB2312"/>
          <w:sz w:val="32"/>
          <w:szCs w:val="32"/>
        </w:rPr>
        <w:t>广东财经大学</w:t>
      </w:r>
      <w:r>
        <w:rPr>
          <w:rFonts w:hint="eastAsia" w:ascii="仿宋_GB2312" w:eastAsia="仿宋_GB2312"/>
          <w:sz w:val="32"/>
          <w:szCs w:val="32"/>
          <w:lang w:val="en-US" w:eastAsia="zh-CN"/>
        </w:rPr>
        <w:t>金融</w:t>
      </w:r>
      <w:r>
        <w:rPr>
          <w:rFonts w:hint="eastAsia" w:ascii="仿宋_GB2312" w:eastAsia="仿宋_GB2312"/>
          <w:sz w:val="32"/>
          <w:szCs w:val="32"/>
        </w:rPr>
        <w:t>学院</w:t>
      </w:r>
      <w:r>
        <w:rPr>
          <w:rFonts w:hint="eastAsia" w:ascii="仿宋_GB2312" w:eastAsia="仿宋_GB2312"/>
          <w:sz w:val="32"/>
          <w:szCs w:val="32"/>
          <w:lang w:val="en-US" w:eastAsia="zh-CN"/>
        </w:rPr>
        <w:t>特殊</w:t>
      </w:r>
      <w:r>
        <w:rPr>
          <w:rFonts w:hint="eastAsia" w:ascii="仿宋_GB2312" w:eastAsia="仿宋_GB2312"/>
          <w:sz w:val="32"/>
          <w:szCs w:val="32"/>
        </w:rPr>
        <w:t>困难校友帮扶</w:t>
      </w:r>
      <w:r>
        <w:rPr>
          <w:rFonts w:hint="eastAsia" w:ascii="仿宋_GB2312" w:eastAsia="仿宋_GB2312"/>
          <w:sz w:val="32"/>
          <w:szCs w:val="32"/>
          <w:lang w:eastAsia="zh-CN"/>
        </w:rPr>
        <w:t>；</w:t>
      </w:r>
    </w:p>
    <w:p>
      <w:pPr>
        <w:ind w:firstLine="547" w:firstLineChars="171"/>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按照捐赠者意愿的限定性使用</w:t>
      </w:r>
      <w:r>
        <w:rPr>
          <w:rFonts w:hint="eastAsia" w:ascii="仿宋_GB2312" w:hAnsi="仿宋_GB2312" w:eastAsia="仿宋_GB2312" w:cs="仿宋_GB2312"/>
          <w:color w:val="000000"/>
          <w:sz w:val="32"/>
          <w:szCs w:val="32"/>
          <w:lang w:eastAsia="zh-CN"/>
        </w:rPr>
        <w:t>；</w:t>
      </w:r>
    </w:p>
    <w:p>
      <w:pPr>
        <w:spacing w:line="560" w:lineRule="exact"/>
        <w:ind w:firstLine="630" w:firstLineChars="196"/>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第四条基金管理机构</w:t>
      </w:r>
    </w:p>
    <w:p>
      <w:pPr>
        <w:spacing w:line="560" w:lineRule="exact"/>
        <w:ind w:firstLine="627" w:firstLineChars="196"/>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1.基金管理委员会</w:t>
      </w:r>
    </w:p>
    <w:p>
      <w:pPr>
        <w:spacing w:line="560" w:lineRule="exact"/>
        <w:ind w:firstLine="627" w:firstLineChars="196"/>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由捐赠方和受益方组织</w:t>
      </w:r>
      <w:r>
        <w:rPr>
          <w:rFonts w:hint="eastAsia" w:ascii="仿宋_GB2312" w:hAnsi="仿宋_GB2312" w:eastAsia="仿宋_GB2312" w:cs="仿宋_GB2312"/>
          <w:sz w:val="32"/>
          <w:szCs w:val="32"/>
        </w:rPr>
        <w:t>成立广东财经大学金融学院金石励学基金管理委员会，负责基金的资金筹措、每年预算的制订和执行，以及决算等工作。基金管理委员会设主席一名，副主席一名，秘书长一名。主席由广东财经大学金融学院校友会负责人担任；副主席由受益方广东财经大学金融学院党政负责人代表担任；秘书长由广东财经大学金融学院办公室主任担任。本基金管理委员会下设基金管理小组和基金监督小组。</w:t>
      </w:r>
    </w:p>
    <w:p>
      <w:pPr>
        <w:spacing w:line="560" w:lineRule="exact"/>
        <w:ind w:firstLine="627" w:firstLineChars="196"/>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2．基金管理小组</w:t>
      </w:r>
    </w:p>
    <w:p>
      <w:pPr>
        <w:spacing w:line="560" w:lineRule="exact"/>
        <w:ind w:firstLine="627" w:firstLineChars="196"/>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基金管理小组负责基金预算执行、财务管理和信息披露等，设组长一名，出纳一名，会计一名。组长由广东财经大学金融学院党委书记担任，出纳、会计由广东财经大学金融学院教职工担任。</w:t>
      </w:r>
    </w:p>
    <w:p>
      <w:pPr>
        <w:spacing w:line="560" w:lineRule="exact"/>
        <w:ind w:firstLine="627" w:firstLineChars="196"/>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3．基金监督小组</w:t>
      </w:r>
    </w:p>
    <w:p>
      <w:pPr>
        <w:spacing w:line="560" w:lineRule="exact"/>
        <w:ind w:firstLine="627" w:firstLineChars="196"/>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基金监督小组负责监督每年预算的制订和执行，听取和审议基金工作报告和财务预决算报告，审议决定基金使用重大事宜等。设组长一名，副组长两名。组长由本基金管理委员会主席担任，副组长由广东财经大学金融学院团委书记、工会主席、学生会主席担任。</w:t>
      </w:r>
    </w:p>
    <w:p>
      <w:pPr>
        <w:spacing w:line="560" w:lineRule="exact"/>
        <w:ind w:firstLine="627" w:firstLineChars="196"/>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4．任期</w:t>
      </w:r>
    </w:p>
    <w:p>
      <w:pPr>
        <w:spacing w:line="560" w:lineRule="exact"/>
        <w:ind w:firstLine="627" w:firstLineChars="196"/>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基金管理委员会实行任期制度，委员会主席任期与广东财经大学金融学院校友会任期一致，委员会副主席、秘书长及管理小组成员任期与其在广东财经大学金融学院行政任期一致。</w:t>
      </w:r>
    </w:p>
    <w:p>
      <w:pPr>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5．薪酬津贴</w:t>
      </w:r>
    </w:p>
    <w:p>
      <w:pPr>
        <w:spacing w:line="560" w:lineRule="exact"/>
        <w:ind w:firstLine="627" w:firstLineChars="196"/>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本基金理事及各成员均为义务性质，不领取任何薪酬津贴。</w:t>
      </w:r>
    </w:p>
    <w:p>
      <w:pPr>
        <w:spacing w:line="560" w:lineRule="exact"/>
        <w:ind w:firstLine="630" w:firstLineChars="196"/>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第</w:t>
      </w:r>
      <w:r>
        <w:rPr>
          <w:rFonts w:hint="eastAsia" w:ascii="仿宋_GB2312" w:hAnsi="仿宋_GB2312" w:eastAsia="仿宋_GB2312" w:cs="仿宋_GB2312"/>
          <w:b/>
          <w:color w:val="000000"/>
          <w:sz w:val="32"/>
          <w:szCs w:val="32"/>
          <w:lang w:val="en-US" w:eastAsia="zh-CN"/>
        </w:rPr>
        <w:t>五</w:t>
      </w:r>
      <w:r>
        <w:rPr>
          <w:rFonts w:hint="eastAsia" w:ascii="仿宋_GB2312" w:hAnsi="仿宋_GB2312" w:eastAsia="仿宋_GB2312" w:cs="仿宋_GB2312"/>
          <w:b/>
          <w:color w:val="000000"/>
          <w:sz w:val="32"/>
          <w:szCs w:val="32"/>
        </w:rPr>
        <w:t>条  基金发放标准</w:t>
      </w:r>
    </w:p>
    <w:p>
      <w:pPr>
        <w:spacing w:line="560" w:lineRule="exact"/>
        <w:ind w:firstLine="627" w:firstLineChars="196"/>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1．每年将上一年底基金总额的20-50%作为奖励金额。当</w:t>
      </w:r>
      <w:r>
        <w:rPr>
          <w:rFonts w:hint="eastAsia" w:ascii="仿宋_GB2312" w:hAnsi="仿宋_GB2312" w:eastAsia="仿宋_GB2312" w:cs="仿宋_GB2312"/>
          <w:color w:val="000000"/>
          <w:sz w:val="32"/>
          <w:szCs w:val="32"/>
        </w:rPr>
        <w:t>年若没有符合奖励条件或申请名额不足的，该奖励金留存。</w:t>
      </w:r>
    </w:p>
    <w:p>
      <w:pPr>
        <w:spacing w:line="560" w:lineRule="exact"/>
        <w:ind w:firstLine="627" w:firstLineChars="196"/>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2．其它类开支，将按照捐赠者愿望和要求定向使用。</w:t>
      </w:r>
    </w:p>
    <w:p>
      <w:pPr>
        <w:spacing w:line="560" w:lineRule="exact"/>
        <w:ind w:firstLine="630" w:firstLineChars="196"/>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第</w:t>
      </w:r>
      <w:r>
        <w:rPr>
          <w:rFonts w:hint="eastAsia" w:ascii="仿宋_GB2312" w:hAnsi="仿宋_GB2312" w:eastAsia="仿宋_GB2312" w:cs="仿宋_GB2312"/>
          <w:b/>
          <w:color w:val="000000"/>
          <w:sz w:val="32"/>
          <w:szCs w:val="32"/>
          <w:lang w:val="en-US" w:eastAsia="zh-CN"/>
        </w:rPr>
        <w:t>六</w:t>
      </w:r>
      <w:r>
        <w:rPr>
          <w:rFonts w:hint="eastAsia" w:ascii="仿宋_GB2312" w:hAnsi="仿宋_GB2312" w:eastAsia="仿宋_GB2312" w:cs="仿宋_GB2312"/>
          <w:b/>
          <w:color w:val="000000"/>
          <w:sz w:val="32"/>
          <w:szCs w:val="32"/>
        </w:rPr>
        <w:t>条  基金使用审批程序及要求</w:t>
      </w:r>
    </w:p>
    <w:p>
      <w:pPr>
        <w:spacing w:line="560" w:lineRule="exact"/>
        <w:ind w:firstLine="627" w:firstLineChars="196"/>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1.由金石励学基金管理委员会于每年十一月底前向基金会提出年度经费预算，经基金会审议通过后，由金石励学基金管理委员会负责每年奖励评选工作。</w:t>
      </w:r>
    </w:p>
    <w:p>
      <w:pPr>
        <w:spacing w:line="560" w:lineRule="exact"/>
        <w:ind w:firstLine="627" w:firstLineChars="196"/>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金石励学基金管理委员会按照程序开展评选并对结果进行公示，公示无异议后公布结果，并将《广东财经大学教育发展基金会基金划拨审批表》（附评选文件、奖励名单等材料）报广东财经大学教育发展基金会审批，由基金会向学校划拨捐赠款。</w:t>
      </w:r>
    </w:p>
    <w:p>
      <w:pPr>
        <w:spacing w:line="560" w:lineRule="exact"/>
        <w:ind w:firstLine="627" w:firstLineChars="196"/>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3．捐赠款划拨到学校后，由受益方广东财经大学金融学院按照学校财务要求向学生发放奖励金。同时，受益方在征得捐赠方同意的情况下，负责组织召开奖励金发放仪式，邀请捐赠方、奖励方等代表出席。 </w:t>
      </w:r>
    </w:p>
    <w:p>
      <w:pPr>
        <w:spacing w:line="560" w:lineRule="exact"/>
        <w:ind w:firstLine="630" w:firstLineChars="196"/>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第</w:t>
      </w:r>
      <w:r>
        <w:rPr>
          <w:rFonts w:hint="eastAsia" w:ascii="仿宋_GB2312" w:hAnsi="仿宋_GB2312" w:eastAsia="仿宋_GB2312" w:cs="仿宋_GB2312"/>
          <w:b/>
          <w:color w:val="000000"/>
          <w:sz w:val="32"/>
          <w:szCs w:val="32"/>
          <w:lang w:val="en-US" w:eastAsia="zh-CN"/>
        </w:rPr>
        <w:t>七</w:t>
      </w:r>
      <w:r>
        <w:rPr>
          <w:rFonts w:hint="eastAsia" w:ascii="仿宋_GB2312" w:hAnsi="仿宋_GB2312" w:eastAsia="仿宋_GB2312" w:cs="仿宋_GB2312"/>
          <w:b/>
          <w:color w:val="000000"/>
          <w:sz w:val="32"/>
          <w:szCs w:val="32"/>
        </w:rPr>
        <w:t>条  附则</w:t>
      </w:r>
    </w:p>
    <w:p>
      <w:pPr>
        <w:tabs>
          <w:tab w:val="right" w:pos="8306"/>
        </w:tabs>
        <w:spacing w:line="560" w:lineRule="exact"/>
        <w:ind w:firstLine="627" w:firstLineChars="196"/>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1．本办法由广东财经大学金融学院、广东财经大学金融学院校友会会同广东财经大学教育发展基金会负责解释。</w:t>
      </w:r>
    </w:p>
    <w:p>
      <w:pPr>
        <w:spacing w:line="560" w:lineRule="exact"/>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2．本办法自公布之日起实施。</w:t>
      </w:r>
    </w:p>
    <w:p>
      <w:pPr>
        <w:spacing w:line="560" w:lineRule="exact"/>
        <w:ind w:firstLine="627" w:firstLineChars="196"/>
        <w:rPr>
          <w:rFonts w:hint="eastAsia" w:ascii="仿宋_GB2312" w:hAnsi="仿宋_GB2312" w:eastAsia="仿宋_GB2312" w:cs="仿宋_GB2312"/>
          <w:color w:val="000000"/>
          <w:sz w:val="32"/>
          <w:szCs w:val="32"/>
        </w:rPr>
      </w:pPr>
    </w:p>
    <w:p>
      <w:pPr>
        <w:spacing w:line="560" w:lineRule="exact"/>
        <w:ind w:firstLine="627" w:firstLineChars="196"/>
        <w:rPr>
          <w:rFonts w:hint="eastAsia" w:ascii="仿宋_GB2312" w:hAnsi="仿宋_GB2312" w:eastAsia="仿宋_GB2312" w:cs="仿宋_GB2312"/>
          <w:color w:val="000000"/>
          <w:sz w:val="32"/>
          <w:szCs w:val="32"/>
        </w:rPr>
      </w:pPr>
      <w:bookmarkStart w:id="0" w:name="_GoBack"/>
      <w:bookmarkEnd w:id="0"/>
    </w:p>
    <w:p>
      <w:pPr>
        <w:spacing w:line="560" w:lineRule="exact"/>
        <w:ind w:firstLine="627" w:firstLineChars="196"/>
        <w:rPr>
          <w:rFonts w:hint="eastAsia" w:ascii="仿宋_GB2312" w:hAnsi="仿宋_GB2312" w:eastAsia="仿宋_GB2312" w:cs="仿宋_GB2312"/>
          <w:color w:val="000000"/>
          <w:sz w:val="32"/>
          <w:szCs w:val="32"/>
        </w:rPr>
      </w:pPr>
    </w:p>
    <w:p>
      <w:pPr>
        <w:spacing w:line="560" w:lineRule="exact"/>
        <w:ind w:firstLine="627" w:firstLineChars="196"/>
        <w:rPr>
          <w:rFonts w:ascii="仿宋_GB2312" w:hAnsi="仿宋_GB2312" w:eastAsia="仿宋_GB2312" w:cs="仿宋_GB2312"/>
          <w:color w:val="000000"/>
          <w:sz w:val="32"/>
          <w:szCs w:val="32"/>
        </w:rPr>
      </w:pPr>
    </w:p>
    <w:p>
      <w:pPr>
        <w:spacing w:line="560" w:lineRule="exact"/>
        <w:ind w:firstLine="1280" w:firstLineChars="4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广东财经大学金融学院金石励学基金管理委员会</w:t>
      </w:r>
    </w:p>
    <w:p>
      <w:pPr>
        <w:spacing w:line="560" w:lineRule="exact"/>
        <w:ind w:firstLine="627" w:firstLineChars="196"/>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2021年 11月9日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C0083D"/>
    <w:rsid w:val="000009F0"/>
    <w:rsid w:val="00005478"/>
    <w:rsid w:val="00044FE8"/>
    <w:rsid w:val="0006147C"/>
    <w:rsid w:val="00066E11"/>
    <w:rsid w:val="00092A36"/>
    <w:rsid w:val="000C24F9"/>
    <w:rsid w:val="000C571F"/>
    <w:rsid w:val="000C704A"/>
    <w:rsid w:val="000C7E3C"/>
    <w:rsid w:val="000D2B38"/>
    <w:rsid w:val="000E1DA5"/>
    <w:rsid w:val="000E5036"/>
    <w:rsid w:val="001157A9"/>
    <w:rsid w:val="00116B93"/>
    <w:rsid w:val="001530B0"/>
    <w:rsid w:val="0018235A"/>
    <w:rsid w:val="00226839"/>
    <w:rsid w:val="00251694"/>
    <w:rsid w:val="00255203"/>
    <w:rsid w:val="00282B88"/>
    <w:rsid w:val="002A34C0"/>
    <w:rsid w:val="002C2603"/>
    <w:rsid w:val="002C3DC6"/>
    <w:rsid w:val="003079EC"/>
    <w:rsid w:val="003134CE"/>
    <w:rsid w:val="00326AB1"/>
    <w:rsid w:val="0033052A"/>
    <w:rsid w:val="00342807"/>
    <w:rsid w:val="00342B05"/>
    <w:rsid w:val="00355DA0"/>
    <w:rsid w:val="00377987"/>
    <w:rsid w:val="00397F79"/>
    <w:rsid w:val="003B3B1C"/>
    <w:rsid w:val="003B67D6"/>
    <w:rsid w:val="003D057E"/>
    <w:rsid w:val="00400E7B"/>
    <w:rsid w:val="00432DE9"/>
    <w:rsid w:val="004459A7"/>
    <w:rsid w:val="00453399"/>
    <w:rsid w:val="00462390"/>
    <w:rsid w:val="00484B4F"/>
    <w:rsid w:val="0048595B"/>
    <w:rsid w:val="004D5673"/>
    <w:rsid w:val="004D70A2"/>
    <w:rsid w:val="0050609B"/>
    <w:rsid w:val="0053692F"/>
    <w:rsid w:val="00541B10"/>
    <w:rsid w:val="00545367"/>
    <w:rsid w:val="005717FF"/>
    <w:rsid w:val="00576665"/>
    <w:rsid w:val="00577BCA"/>
    <w:rsid w:val="0058456E"/>
    <w:rsid w:val="005B603E"/>
    <w:rsid w:val="005D035F"/>
    <w:rsid w:val="005D4923"/>
    <w:rsid w:val="0062156C"/>
    <w:rsid w:val="0064073D"/>
    <w:rsid w:val="00643982"/>
    <w:rsid w:val="00646BE9"/>
    <w:rsid w:val="006704D7"/>
    <w:rsid w:val="006776EF"/>
    <w:rsid w:val="006D63D2"/>
    <w:rsid w:val="007606F9"/>
    <w:rsid w:val="007608F3"/>
    <w:rsid w:val="00760B5D"/>
    <w:rsid w:val="00764C47"/>
    <w:rsid w:val="007674A8"/>
    <w:rsid w:val="007937F0"/>
    <w:rsid w:val="007A7182"/>
    <w:rsid w:val="007D1752"/>
    <w:rsid w:val="007D58FD"/>
    <w:rsid w:val="007E6122"/>
    <w:rsid w:val="00823C7F"/>
    <w:rsid w:val="00827919"/>
    <w:rsid w:val="00833617"/>
    <w:rsid w:val="00836612"/>
    <w:rsid w:val="00861831"/>
    <w:rsid w:val="00891DE8"/>
    <w:rsid w:val="008A487B"/>
    <w:rsid w:val="008D7794"/>
    <w:rsid w:val="00905E7C"/>
    <w:rsid w:val="00912216"/>
    <w:rsid w:val="00932258"/>
    <w:rsid w:val="009605FB"/>
    <w:rsid w:val="00960DE3"/>
    <w:rsid w:val="00962F06"/>
    <w:rsid w:val="00977BD3"/>
    <w:rsid w:val="00982E92"/>
    <w:rsid w:val="009A0723"/>
    <w:rsid w:val="009D24D8"/>
    <w:rsid w:val="009D4AA2"/>
    <w:rsid w:val="009E3B3A"/>
    <w:rsid w:val="009F3BEC"/>
    <w:rsid w:val="00A101C1"/>
    <w:rsid w:val="00A116CC"/>
    <w:rsid w:val="00A27433"/>
    <w:rsid w:val="00A64E97"/>
    <w:rsid w:val="00A7072E"/>
    <w:rsid w:val="00AA446D"/>
    <w:rsid w:val="00AC35E4"/>
    <w:rsid w:val="00AD1449"/>
    <w:rsid w:val="00AF6D80"/>
    <w:rsid w:val="00B00DA5"/>
    <w:rsid w:val="00B81A26"/>
    <w:rsid w:val="00B83F7C"/>
    <w:rsid w:val="00B87BF5"/>
    <w:rsid w:val="00BC377A"/>
    <w:rsid w:val="00BC746E"/>
    <w:rsid w:val="00BD03EE"/>
    <w:rsid w:val="00BD4D88"/>
    <w:rsid w:val="00BD73B2"/>
    <w:rsid w:val="00BE3FB8"/>
    <w:rsid w:val="00C0083D"/>
    <w:rsid w:val="00C16CE7"/>
    <w:rsid w:val="00C76A08"/>
    <w:rsid w:val="00C8275B"/>
    <w:rsid w:val="00C87E6C"/>
    <w:rsid w:val="00CA6667"/>
    <w:rsid w:val="00CD3C16"/>
    <w:rsid w:val="00CE6F9A"/>
    <w:rsid w:val="00D3543A"/>
    <w:rsid w:val="00D4321B"/>
    <w:rsid w:val="00D437BA"/>
    <w:rsid w:val="00D43B55"/>
    <w:rsid w:val="00D55E55"/>
    <w:rsid w:val="00D667EF"/>
    <w:rsid w:val="00D66DA2"/>
    <w:rsid w:val="00D76C73"/>
    <w:rsid w:val="00D874AA"/>
    <w:rsid w:val="00D87D92"/>
    <w:rsid w:val="00D96AA2"/>
    <w:rsid w:val="00DA681D"/>
    <w:rsid w:val="00DD1E7E"/>
    <w:rsid w:val="00DF1CEB"/>
    <w:rsid w:val="00E10F7D"/>
    <w:rsid w:val="00E37C3F"/>
    <w:rsid w:val="00E46414"/>
    <w:rsid w:val="00E9557A"/>
    <w:rsid w:val="00EB2C2C"/>
    <w:rsid w:val="00ED164F"/>
    <w:rsid w:val="00EE44E1"/>
    <w:rsid w:val="00EF77E7"/>
    <w:rsid w:val="00F026AE"/>
    <w:rsid w:val="00F065CF"/>
    <w:rsid w:val="00F4422B"/>
    <w:rsid w:val="00F445AD"/>
    <w:rsid w:val="00F639D4"/>
    <w:rsid w:val="00F83C8B"/>
    <w:rsid w:val="00F92266"/>
    <w:rsid w:val="00F94EBC"/>
    <w:rsid w:val="00FA29F7"/>
    <w:rsid w:val="00FA3A9E"/>
    <w:rsid w:val="00FB521C"/>
    <w:rsid w:val="00FC131E"/>
    <w:rsid w:val="00FE1FE7"/>
    <w:rsid w:val="00FF0ECD"/>
    <w:rsid w:val="00FF0F9F"/>
    <w:rsid w:val="00FF3AA7"/>
    <w:rsid w:val="00FF4814"/>
    <w:rsid w:val="27D44033"/>
    <w:rsid w:val="3B6C64EB"/>
    <w:rsid w:val="4BEE77D0"/>
    <w:rsid w:val="646D4EC8"/>
    <w:rsid w:val="72E1184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semiHidden/>
    <w:unhideWhenUsed/>
    <w:uiPriority w:val="99"/>
    <w:rPr>
      <w:sz w:val="18"/>
      <w:szCs w:val="18"/>
    </w:rPr>
  </w:style>
  <w:style w:type="paragraph" w:styleId="5">
    <w:name w:val="List Paragraph"/>
    <w:basedOn w:val="1"/>
    <w:qFormat/>
    <w:uiPriority w:val="99"/>
    <w:pPr>
      <w:ind w:firstLine="420" w:firstLineChars="200"/>
    </w:pPr>
  </w:style>
  <w:style w:type="character" w:customStyle="1" w:styleId="6">
    <w:name w:val="批注框文本 Char"/>
    <w:basedOn w:val="4"/>
    <w:link w:val="2"/>
    <w:semiHidden/>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301</Words>
  <Characters>1716</Characters>
  <Lines>14</Lines>
  <Paragraphs>4</Paragraphs>
  <TotalTime>2</TotalTime>
  <ScaleCrop>false</ScaleCrop>
  <LinksUpToDate>false</LinksUpToDate>
  <CharactersWithSpaces>2013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2021-11-10T06:50:00Z</dcterms:created>
  <dc:creator>alice</dc:creator>
  <cp:lastModifiedBy>Administrator</cp:lastModifiedBy>
  <cp:lastPrinted>2021-11-15T07:07:56Z</cp:lastPrinted>
  <dcterms:modified xsi:type="dcterms:W3CDTF">2021-11-15T07:21:08Z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41E670EBEE50420E8590807F8DF6D83E</vt:lpwstr>
  </property>
</Properties>
</file>